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680" w:rsidRPr="00840788" w:rsidRDefault="00E75680" w:rsidP="00E75680">
      <w:pPr>
        <w:jc w:val="center"/>
        <w:rPr>
          <w:rFonts w:ascii="黑体" w:eastAsia="黑体"/>
          <w:b/>
          <w:sz w:val="28"/>
        </w:rPr>
      </w:pPr>
      <w:r w:rsidRPr="00840788">
        <w:rPr>
          <w:rFonts w:ascii="黑体" w:eastAsia="黑体" w:hint="eastAsia"/>
          <w:b/>
          <w:sz w:val="28"/>
        </w:rPr>
        <w:t>复旦大学课程教学大纲</w:t>
      </w:r>
    </w:p>
    <w:tbl>
      <w:tblPr>
        <w:tblW w:w="8943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77"/>
        <w:gridCol w:w="1440"/>
        <w:gridCol w:w="138"/>
        <w:gridCol w:w="851"/>
        <w:gridCol w:w="451"/>
        <w:gridCol w:w="836"/>
        <w:gridCol w:w="1287"/>
        <w:gridCol w:w="37"/>
        <w:gridCol w:w="2538"/>
      </w:tblGrid>
      <w:tr w:rsidR="00E75680" w:rsidTr="005E00E2">
        <w:trPr>
          <w:trHeight w:val="773"/>
        </w:trPr>
        <w:tc>
          <w:tcPr>
            <w:tcW w:w="894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 w:rsidR="00E75680" w:rsidRDefault="00E75680" w:rsidP="005E00E2">
            <w:pPr>
              <w:spacing w:before="100" w:beforeAutospacing="1" w:after="100" w:afterAutospacing="1"/>
              <w:rPr>
                <w:rFonts w:ascii="黑体" w:eastAsia="黑体"/>
                <w:sz w:val="24"/>
              </w:rPr>
            </w:pPr>
          </w:p>
          <w:p w:rsidR="00E75680" w:rsidRDefault="00E75680" w:rsidP="005E00E2">
            <w:pPr>
              <w:spacing w:before="100" w:beforeAutospacing="1" w:after="100" w:afterAutospacing="1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院系: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法学院</w:t>
            </w:r>
            <w:r>
              <w:rPr>
                <w:rFonts w:ascii="黑体" w:eastAsia="黑体"/>
                <w:sz w:val="24"/>
              </w:rPr>
              <w:t xml:space="preserve">                                 日期</w:t>
            </w:r>
            <w:r>
              <w:rPr>
                <w:rFonts w:ascii="黑体" w:eastAsia="黑体"/>
                <w:sz w:val="24"/>
              </w:rPr>
              <w:t>:  2018</w:t>
            </w:r>
            <w:r>
              <w:rPr>
                <w:rFonts w:ascii="黑体" w:eastAsia="黑体"/>
                <w:sz w:val="24"/>
              </w:rPr>
              <w:t>年</w:t>
            </w:r>
            <w:r>
              <w:rPr>
                <w:rFonts w:ascii="黑体" w:eastAsia="黑体" w:hint="eastAsia"/>
                <w:sz w:val="24"/>
              </w:rPr>
              <w:t xml:space="preserve"> 11</w:t>
            </w:r>
            <w:r>
              <w:rPr>
                <w:rFonts w:ascii="黑体" w:eastAsia="黑体" w:hint="eastAsia"/>
                <w:sz w:val="24"/>
              </w:rPr>
              <w:t xml:space="preserve">  月 </w:t>
            </w:r>
            <w:r>
              <w:rPr>
                <w:rFonts w:ascii="黑体" w:eastAsia="黑体"/>
                <w:sz w:val="24"/>
              </w:rPr>
              <w:t>14</w:t>
            </w:r>
            <w:r>
              <w:rPr>
                <w:rFonts w:ascii="黑体" w:eastAsia="黑体" w:hint="eastAsia"/>
                <w:sz w:val="24"/>
              </w:rPr>
              <w:t xml:space="preserve"> 日</w:t>
            </w:r>
          </w:p>
        </w:tc>
      </w:tr>
      <w:tr w:rsidR="00E75680" w:rsidTr="005E00E2">
        <w:trPr>
          <w:trHeight w:val="516"/>
        </w:trPr>
        <w:tc>
          <w:tcPr>
            <w:tcW w:w="1188" w:type="dxa"/>
            <w:tcBorders>
              <w:top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bookmarkStart w:id="0" w:name="_GoBack" w:colFirst="1" w:colLast="1"/>
            <w:r>
              <w:rPr>
                <w:rFonts w:ascii="宋体" w:hint="eastAsia"/>
              </w:rPr>
              <w:t>课程代码</w:t>
            </w:r>
          </w:p>
        </w:tc>
        <w:tc>
          <w:tcPr>
            <w:tcW w:w="7755" w:type="dxa"/>
            <w:gridSpan w:val="9"/>
            <w:tcBorders>
              <w:top w:val="single" w:sz="12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/>
              </w:rPr>
              <w:t>LAWS130041.01</w:t>
            </w:r>
          </w:p>
        </w:tc>
      </w:tr>
      <w:tr w:rsidR="00E75680" w:rsidTr="005E00E2">
        <w:trPr>
          <w:trHeight w:val="542"/>
        </w:trPr>
        <w:tc>
          <w:tcPr>
            <w:tcW w:w="11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课程名称</w:t>
            </w:r>
          </w:p>
        </w:tc>
        <w:tc>
          <w:tcPr>
            <w:tcW w:w="7755" w:type="dxa"/>
            <w:gridSpan w:val="9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国际商事仲裁法</w:t>
            </w:r>
          </w:p>
        </w:tc>
      </w:tr>
      <w:bookmarkEnd w:id="0"/>
      <w:tr w:rsidR="00E75680" w:rsidTr="005E00E2">
        <w:trPr>
          <w:trHeight w:val="542"/>
        </w:trPr>
        <w:tc>
          <w:tcPr>
            <w:tcW w:w="11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英文名称</w:t>
            </w:r>
          </w:p>
        </w:tc>
        <w:tc>
          <w:tcPr>
            <w:tcW w:w="7755" w:type="dxa"/>
            <w:gridSpan w:val="9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/>
              </w:rPr>
              <w:t>International Commercial Arbitration</w:t>
            </w:r>
          </w:p>
        </w:tc>
      </w:tr>
      <w:tr w:rsidR="00E75680" w:rsidTr="005E00E2">
        <w:trPr>
          <w:trHeight w:val="516"/>
        </w:trPr>
        <w:tc>
          <w:tcPr>
            <w:tcW w:w="11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 分 数</w:t>
            </w:r>
          </w:p>
        </w:tc>
        <w:tc>
          <w:tcPr>
            <w:tcW w:w="1755" w:type="dxa"/>
            <w:gridSpan w:val="3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周学时</w:t>
            </w:r>
          </w:p>
        </w:tc>
        <w:tc>
          <w:tcPr>
            <w:tcW w:w="1287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ind w:left="57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287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授课语言</w:t>
            </w:r>
          </w:p>
        </w:tc>
        <w:tc>
          <w:tcPr>
            <w:tcW w:w="2575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ind w:left="57"/>
              <w:rPr>
                <w:rFonts w:ascii="宋体"/>
              </w:rPr>
            </w:pPr>
            <w:r>
              <w:rPr>
                <w:rFonts w:ascii="宋体" w:hint="eastAsia"/>
              </w:rPr>
              <w:t>英语</w:t>
            </w:r>
          </w:p>
        </w:tc>
      </w:tr>
      <w:tr w:rsidR="00E75680" w:rsidTr="005E00E2">
        <w:trPr>
          <w:trHeight w:val="455"/>
        </w:trPr>
        <w:tc>
          <w:tcPr>
            <w:tcW w:w="11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课程性质  </w:t>
            </w:r>
          </w:p>
        </w:tc>
        <w:tc>
          <w:tcPr>
            <w:tcW w:w="7755" w:type="dxa"/>
            <w:gridSpan w:val="9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ascii="宋体" w:hint="eastAsia"/>
              </w:rPr>
              <w:t>通识教育专项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ascii="宋体" w:hint="eastAsia"/>
              </w:rPr>
              <w:t>核心课程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ascii="宋体" w:hint="eastAsia"/>
              </w:rPr>
              <w:t>通识教育选修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ascii="宋体" w:hint="eastAsia"/>
              </w:rPr>
              <w:t>大类基础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ascii="宋体" w:hint="eastAsia"/>
              </w:rPr>
              <w:t>专业必修</w:t>
            </w:r>
            <w:r>
              <w:rPr>
                <w:rFonts w:ascii="Book Antiqua" w:hAnsi="Book Antiqua"/>
                <w:sz w:val="28"/>
                <w:shd w:val="pct10" w:color="auto" w:fill="FFFFFF"/>
              </w:rPr>
              <w:t>□</w:t>
            </w:r>
            <w:r>
              <w:rPr>
                <w:rFonts w:ascii="宋体" w:hint="eastAsia"/>
              </w:rPr>
              <w:t>专业选修</w:t>
            </w:r>
            <w:r>
              <w:rPr>
                <w:rFonts w:ascii="Book Antiqua" w:hAnsi="Book Antiqua"/>
                <w:sz w:val="28"/>
              </w:rPr>
              <w:t>□</w:t>
            </w:r>
            <w:r>
              <w:rPr>
                <w:rFonts w:ascii="宋体" w:hint="eastAsia"/>
              </w:rPr>
              <w:t>其他</w:t>
            </w:r>
          </w:p>
        </w:tc>
      </w:tr>
      <w:tr w:rsidR="00E75680" w:rsidTr="005E00E2">
        <w:trPr>
          <w:trHeight w:val="1491"/>
        </w:trPr>
        <w:tc>
          <w:tcPr>
            <w:tcW w:w="11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教学目的</w:t>
            </w:r>
          </w:p>
        </w:tc>
        <w:tc>
          <w:tcPr>
            <w:tcW w:w="7755" w:type="dxa"/>
            <w:gridSpan w:val="9"/>
            <w:tcBorders>
              <w:lef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通过学习，使学生系统掌握国际商事争议解决的仲裁程序法律和规则。特别是熟悉掌握我国仲裁法律的基本体系及基本内容，能够熟练运用仲裁的方法解决商事争议，尤其是国际经济贸易领域的各类争议，培养学生分析和解决实际问题的能力，进而服务于我国的改革开放国家战略。为此目的，课程将采用讲授、课堂讨论以及学生报告或模拟仲裁的多样灵活的教学模式，并采用大量的案例。</w:t>
            </w:r>
          </w:p>
        </w:tc>
      </w:tr>
      <w:tr w:rsidR="00E75680" w:rsidTr="005E00E2">
        <w:trPr>
          <w:trHeight w:val="1529"/>
        </w:trPr>
        <w:tc>
          <w:tcPr>
            <w:tcW w:w="118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基本内容简介</w:t>
            </w:r>
          </w:p>
        </w:tc>
        <w:tc>
          <w:tcPr>
            <w:tcW w:w="7755" w:type="dxa"/>
            <w:gridSpan w:val="9"/>
            <w:tcBorders>
              <w:lef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本课程系为本科生开设的全英文课程。本课程的主要内容包括：商事仲裁的基本概念、特征与性质；国际商事仲裁协议及其效力；仲裁庭的组成及仲裁庭管辖权；国际商事仲裁的主要程序事项；国际商事仲裁裁决的撤销制度；国际商事仲裁裁决的承认与执行；中国国际商事仲裁实践、立法规定及其完善。</w:t>
            </w:r>
          </w:p>
        </w:tc>
      </w:tr>
      <w:tr w:rsidR="00E75680" w:rsidTr="005E00E2">
        <w:trPr>
          <w:trHeight w:val="1762"/>
        </w:trPr>
        <w:tc>
          <w:tcPr>
            <w:tcW w:w="8943" w:type="dxa"/>
            <w:gridSpan w:val="10"/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基本要求: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学习本课程的学生应具有国际公法、</w:t>
            </w:r>
            <w:r>
              <w:rPr>
                <w:rFonts w:ascii="宋体"/>
              </w:rPr>
              <w:t>民事诉讼法以及国际私法基础</w:t>
            </w:r>
            <w:r>
              <w:rPr>
                <w:rFonts w:ascii="宋体" w:hint="eastAsia"/>
              </w:rPr>
              <w:t>，同时具有优秀的英语写作</w:t>
            </w:r>
            <w:r>
              <w:rPr>
                <w:rFonts w:ascii="宋体"/>
              </w:rPr>
              <w:t>、阅读及口头表达能力，</w:t>
            </w:r>
            <w:r>
              <w:rPr>
                <w:rFonts w:ascii="宋体" w:hint="eastAsia"/>
              </w:rPr>
              <w:t>能够运用所学解决实践中的具体问题。学生</w:t>
            </w:r>
            <w:r>
              <w:rPr>
                <w:rFonts w:ascii="宋体"/>
              </w:rPr>
              <w:t>应</w:t>
            </w:r>
            <w:r>
              <w:rPr>
                <w:rFonts w:ascii="宋体" w:hint="eastAsia"/>
              </w:rPr>
              <w:t>准时</w:t>
            </w:r>
            <w:r>
              <w:rPr>
                <w:rFonts w:ascii="宋体"/>
              </w:rPr>
              <w:t>上下课，不迟到早退，事假或病假应有请假条，不定时点名</w:t>
            </w:r>
            <w:r>
              <w:rPr>
                <w:rFonts w:ascii="宋体" w:hint="eastAsia"/>
              </w:rPr>
              <w:t>。</w:t>
            </w:r>
            <w:r>
              <w:rPr>
                <w:rFonts w:ascii="宋体"/>
              </w:rPr>
              <w:t>对于</w:t>
            </w:r>
            <w:r>
              <w:rPr>
                <w:rFonts w:ascii="宋体" w:hint="eastAsia"/>
              </w:rPr>
              <w:t>相关知识点</w:t>
            </w:r>
            <w:r>
              <w:rPr>
                <w:rFonts w:ascii="宋体"/>
              </w:rPr>
              <w:t>，</w:t>
            </w:r>
            <w:r>
              <w:rPr>
                <w:rFonts w:ascii="宋体" w:hint="eastAsia"/>
              </w:rPr>
              <w:t>采用</w:t>
            </w:r>
            <w:r>
              <w:rPr>
                <w:rFonts w:ascii="宋体"/>
              </w:rPr>
              <w:t>课堂提问与回答等频繁师生互动模式，引导学生积极思考</w:t>
            </w:r>
            <w:r>
              <w:rPr>
                <w:rFonts w:ascii="宋体" w:hint="eastAsia"/>
              </w:rPr>
              <w:t>。</w:t>
            </w:r>
            <w:r>
              <w:rPr>
                <w:rFonts w:ascii="宋体"/>
              </w:rPr>
              <w:t>因此学生应事先预习下一次课程的主要内容</w:t>
            </w:r>
            <w:r>
              <w:rPr>
                <w:rFonts w:ascii="宋体" w:hint="eastAsia"/>
              </w:rPr>
              <w:t>，</w:t>
            </w:r>
            <w:r>
              <w:rPr>
                <w:rFonts w:ascii="宋体"/>
              </w:rPr>
              <w:t>复习巩固前次课程的主要知识点</w:t>
            </w:r>
          </w:p>
        </w:tc>
      </w:tr>
      <w:tr w:rsidR="00E75680" w:rsidTr="005E00E2">
        <w:trPr>
          <w:trHeight w:val="1812"/>
        </w:trPr>
        <w:tc>
          <w:tcPr>
            <w:tcW w:w="8943" w:type="dxa"/>
            <w:gridSpan w:val="10"/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授课方式: </w:t>
            </w:r>
          </w:p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>课堂讲授为主+学生报告</w:t>
            </w:r>
          </w:p>
        </w:tc>
      </w:tr>
      <w:tr w:rsidR="00E75680" w:rsidTr="005E00E2">
        <w:trPr>
          <w:trHeight w:val="1993"/>
        </w:trPr>
        <w:tc>
          <w:tcPr>
            <w:tcW w:w="8943" w:type="dxa"/>
            <w:gridSpan w:val="10"/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主讲教师简介:</w:t>
            </w:r>
            <w:r>
              <w:rPr>
                <w:rFonts w:ascii="宋体"/>
              </w:rPr>
              <w:t xml:space="preserve"> </w:t>
            </w:r>
          </w:p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陈</w:t>
            </w:r>
            <w:r>
              <w:rPr>
                <w:rFonts w:ascii="宋体"/>
              </w:rPr>
              <w:t>力</w:t>
            </w:r>
            <w:r>
              <w:rPr>
                <w:rFonts w:ascii="宋体" w:hint="eastAsia"/>
              </w:rPr>
              <w:t>，</w:t>
            </w:r>
            <w:r>
              <w:rPr>
                <w:rFonts w:ascii="宋体"/>
              </w:rPr>
              <w:t>复旦大学法学院教授</w:t>
            </w:r>
            <w:r>
              <w:rPr>
                <w:rFonts w:ascii="宋体" w:hint="eastAsia"/>
              </w:rPr>
              <w:t>，</w:t>
            </w:r>
            <w:r>
              <w:rPr>
                <w:rFonts w:ascii="宋体"/>
              </w:rPr>
              <w:t>博士生导师。</w:t>
            </w:r>
          </w:p>
          <w:p w:rsidR="00E75680" w:rsidRDefault="00E75680" w:rsidP="005E00E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办公室</w:t>
            </w:r>
            <w:r>
              <w:rPr>
                <w:rFonts w:asciiTheme="minorEastAsia" w:hAnsiTheme="minorEastAsia"/>
              </w:rPr>
              <w:t>：复旦</w:t>
            </w:r>
            <w:r>
              <w:rPr>
                <w:rFonts w:asciiTheme="minorEastAsia" w:hAnsiTheme="minorEastAsia" w:hint="eastAsia"/>
              </w:rPr>
              <w:t>江湾校区</w:t>
            </w:r>
            <w:r>
              <w:rPr>
                <w:rFonts w:asciiTheme="minorEastAsia" w:hAnsiTheme="minorEastAsia"/>
              </w:rPr>
              <w:t>法学院232</w:t>
            </w:r>
            <w:r>
              <w:rPr>
                <w:rFonts w:asciiTheme="minorEastAsia" w:hAnsiTheme="minorEastAsia" w:hint="eastAsia"/>
              </w:rPr>
              <w:t>房间</w:t>
            </w:r>
          </w:p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Theme="minorEastAsia" w:hAnsiTheme="minorEastAsia"/>
              </w:rPr>
              <w:t>Email：</w:t>
            </w:r>
            <w:r>
              <w:fldChar w:fldCharType="begin"/>
            </w:r>
            <w:r>
              <w:instrText xml:space="preserve"> HYPERLINK "mailto:chenl@fudan.edu.cn" </w:instrText>
            </w:r>
            <w:r>
              <w:fldChar w:fldCharType="separate"/>
            </w:r>
            <w:r>
              <w:rPr>
                <w:rFonts w:ascii="宋体"/>
              </w:rPr>
              <w:t>chenl@fudan.edu.cn</w:t>
            </w:r>
            <w:r>
              <w:rPr>
                <w:rFonts w:ascii="宋体"/>
              </w:rPr>
              <w:fldChar w:fldCharType="end"/>
            </w:r>
          </w:p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Theme="minorEastAsia" w:hAnsiTheme="minorEastAsia" w:hint="eastAsia"/>
              </w:rPr>
              <w:t>电话</w:t>
            </w:r>
            <w:r>
              <w:rPr>
                <w:rFonts w:asciiTheme="minorEastAsia" w:hAnsiTheme="minorEastAsia"/>
              </w:rPr>
              <w:t>：312457008</w:t>
            </w:r>
          </w:p>
        </w:tc>
      </w:tr>
      <w:tr w:rsidR="00E75680" w:rsidTr="005E00E2">
        <w:trPr>
          <w:trHeight w:val="420"/>
        </w:trPr>
        <w:tc>
          <w:tcPr>
            <w:tcW w:w="8943" w:type="dxa"/>
            <w:gridSpan w:val="10"/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</w:rPr>
              <w:t>教学团队成员</w:t>
            </w:r>
          </w:p>
        </w:tc>
      </w:tr>
      <w:tr w:rsidR="00E75680" w:rsidTr="005E00E2">
        <w:trPr>
          <w:trHeight w:val="465"/>
        </w:trPr>
        <w:tc>
          <w:tcPr>
            <w:tcW w:w="1365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姓名</w:t>
            </w:r>
          </w:p>
        </w:tc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性别</w:t>
            </w:r>
          </w:p>
        </w:tc>
        <w:tc>
          <w:tcPr>
            <w:tcW w:w="144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职称</w:t>
            </w:r>
          </w:p>
        </w:tc>
        <w:tc>
          <w:tcPr>
            <w:tcW w:w="216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院系</w:t>
            </w:r>
          </w:p>
        </w:tc>
        <w:tc>
          <w:tcPr>
            <w:tcW w:w="25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75680" w:rsidRDefault="00E75680" w:rsidP="005E00E2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在教学中承担的职责</w:t>
            </w:r>
          </w:p>
        </w:tc>
      </w:tr>
      <w:tr w:rsidR="00E75680" w:rsidTr="005E00E2">
        <w:trPr>
          <w:trHeight w:val="465"/>
        </w:trPr>
        <w:tc>
          <w:tcPr>
            <w:tcW w:w="1365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王怡然</w:t>
            </w:r>
          </w:p>
        </w:tc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女</w:t>
            </w:r>
          </w:p>
        </w:tc>
        <w:tc>
          <w:tcPr>
            <w:tcW w:w="144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博士生</w:t>
            </w:r>
          </w:p>
        </w:tc>
        <w:tc>
          <w:tcPr>
            <w:tcW w:w="216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法学院</w:t>
            </w:r>
          </w:p>
        </w:tc>
        <w:tc>
          <w:tcPr>
            <w:tcW w:w="2538" w:type="dxa"/>
            <w:tcBorders>
              <w:lef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助教</w:t>
            </w:r>
          </w:p>
        </w:tc>
      </w:tr>
      <w:tr w:rsidR="00E75680" w:rsidTr="005E00E2">
        <w:trPr>
          <w:trHeight w:val="465"/>
        </w:trPr>
        <w:tc>
          <w:tcPr>
            <w:tcW w:w="1365" w:type="dxa"/>
            <w:gridSpan w:val="2"/>
            <w:tcBorders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</w:p>
        </w:tc>
        <w:tc>
          <w:tcPr>
            <w:tcW w:w="144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</w:p>
        </w:tc>
        <w:tc>
          <w:tcPr>
            <w:tcW w:w="216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</w:p>
        </w:tc>
        <w:tc>
          <w:tcPr>
            <w:tcW w:w="2538" w:type="dxa"/>
            <w:tcBorders>
              <w:left w:val="single" w:sz="8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</w:p>
        </w:tc>
      </w:tr>
      <w:tr w:rsidR="00E75680" w:rsidTr="005E00E2">
        <w:trPr>
          <w:trHeight w:val="2451"/>
        </w:trPr>
        <w:tc>
          <w:tcPr>
            <w:tcW w:w="894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75680" w:rsidRDefault="00E75680" w:rsidP="005E00E2">
            <w:pPr>
              <w:rPr>
                <w:rFonts w:ascii="仿宋_GB2312" w:eastAsia="仿宋_GB2312"/>
                <w:sz w:val="24"/>
              </w:rPr>
            </w:pPr>
            <w:r>
              <w:rPr>
                <w:rFonts w:ascii="宋体" w:hint="eastAsia"/>
              </w:rPr>
              <w:t xml:space="preserve">教学内容安排 </w:t>
            </w:r>
            <w:r>
              <w:rPr>
                <w:rFonts w:ascii="宋体" w:hAnsi="宋体" w:hint="eastAsia"/>
              </w:rPr>
              <w:t>(按</w:t>
            </w:r>
            <w:r>
              <w:rPr>
                <w:rFonts w:ascii="宋体" w:hAnsi="宋体"/>
              </w:rPr>
              <w:t>36</w:t>
            </w:r>
            <w:r>
              <w:rPr>
                <w:rFonts w:ascii="宋体" w:hAnsi="宋体" w:hint="eastAsia"/>
              </w:rPr>
              <w:t>学时共计18周，18周含考试周，具体到每节课内容)</w:t>
            </w:r>
            <w:r>
              <w:rPr>
                <w:rFonts w:ascii="宋体" w:hint="eastAsia"/>
              </w:rPr>
              <w:t>: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1 General Introduction of Arbitration </w:t>
            </w:r>
            <w:r>
              <w:rPr>
                <w:rFonts w:ascii="宋体" w:hint="eastAsia"/>
                <w:szCs w:val="21"/>
              </w:rPr>
              <w:t>（4节</w:t>
            </w:r>
            <w:r>
              <w:rPr>
                <w:rFonts w:ascii="宋体"/>
                <w:szCs w:val="21"/>
              </w:rPr>
              <w:t>）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The Concept and Characteristics of Commercial Arbitration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Types of Commercial Arbitration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The Nature of Arbitration: Jurisdictional theory; Contractual theory; Mixed theory; Autonomous theory.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The legal framework of Chinese Arbitration system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2 Arbitration Agreement under Chinese Arbitration Law </w:t>
            </w:r>
            <w:r>
              <w:rPr>
                <w:rFonts w:ascii="宋体" w:hint="eastAsia"/>
                <w:szCs w:val="21"/>
              </w:rPr>
              <w:t>（6节</w:t>
            </w:r>
            <w:r>
              <w:rPr>
                <w:rFonts w:ascii="宋体"/>
                <w:szCs w:val="21"/>
              </w:rPr>
              <w:t>）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1.</w:t>
            </w:r>
            <w:r>
              <w:rPr>
                <w:rFonts w:ascii="宋体"/>
                <w:szCs w:val="21"/>
              </w:rPr>
              <w:tab/>
              <w:t>Kinds of arbitration agreement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2.</w:t>
            </w:r>
            <w:r>
              <w:rPr>
                <w:rFonts w:ascii="宋体"/>
                <w:szCs w:val="21"/>
              </w:rPr>
              <w:tab/>
              <w:t xml:space="preserve">Determination of the Validity of Arbitration Agreement under the current Chinese arbitration laws: Chapter 3 of the 1995 Chinese Arbitration Act and the </w:t>
            </w:r>
            <w:r>
              <w:rPr>
                <w:rFonts w:ascii="宋体"/>
                <w:szCs w:val="21"/>
              </w:rPr>
              <w:t>“</w:t>
            </w:r>
            <w:r>
              <w:rPr>
                <w:rFonts w:ascii="宋体"/>
                <w:szCs w:val="21"/>
              </w:rPr>
              <w:t>Interpretation of the Supreme People</w:t>
            </w:r>
            <w:r>
              <w:rPr>
                <w:rFonts w:ascii="宋体"/>
                <w:szCs w:val="21"/>
              </w:rPr>
              <w:t>’</w:t>
            </w:r>
            <w:r>
              <w:rPr>
                <w:rFonts w:ascii="宋体"/>
                <w:szCs w:val="21"/>
              </w:rPr>
              <w:t xml:space="preserve">s Court on Certain Issues Concerning the Application of the </w:t>
            </w:r>
            <w:r>
              <w:rPr>
                <w:rFonts w:ascii="宋体"/>
                <w:szCs w:val="21"/>
              </w:rPr>
              <w:t>“</w:t>
            </w:r>
            <w:r>
              <w:rPr>
                <w:rFonts w:ascii="宋体"/>
                <w:szCs w:val="21"/>
              </w:rPr>
              <w:t>Arbitration Act of the P.R. China</w:t>
            </w:r>
            <w:r>
              <w:rPr>
                <w:rFonts w:ascii="宋体"/>
                <w:szCs w:val="21"/>
              </w:rPr>
              <w:t>”</w:t>
            </w:r>
            <w:r>
              <w:rPr>
                <w:rFonts w:ascii="宋体"/>
                <w:szCs w:val="21"/>
              </w:rPr>
              <w:t xml:space="preserve"> (</w:t>
            </w:r>
            <w:proofErr w:type="spellStart"/>
            <w:r>
              <w:rPr>
                <w:rFonts w:ascii="宋体"/>
                <w:szCs w:val="21"/>
              </w:rPr>
              <w:t>Fa</w:t>
            </w:r>
            <w:proofErr w:type="spellEnd"/>
            <w:r>
              <w:rPr>
                <w:rFonts w:ascii="宋体"/>
                <w:szCs w:val="21"/>
              </w:rPr>
              <w:t xml:space="preserve"> Shi [2006] No.7)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3.</w:t>
            </w:r>
            <w:r>
              <w:rPr>
                <w:rFonts w:ascii="宋体"/>
                <w:szCs w:val="21"/>
              </w:rPr>
              <w:tab/>
              <w:t>The applicable Law (governing law)) to an International Commercial Arbitration Agreement.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4.</w:t>
            </w:r>
            <w:r>
              <w:rPr>
                <w:rFonts w:ascii="宋体"/>
                <w:szCs w:val="21"/>
              </w:rPr>
              <w:tab/>
              <w:t xml:space="preserve">the Doctrine of </w:t>
            </w:r>
            <w:proofErr w:type="spellStart"/>
            <w:r>
              <w:rPr>
                <w:rFonts w:ascii="宋体"/>
                <w:szCs w:val="21"/>
              </w:rPr>
              <w:t>Separability</w:t>
            </w:r>
            <w:proofErr w:type="spellEnd"/>
            <w:r>
              <w:rPr>
                <w:rFonts w:ascii="宋体"/>
                <w:szCs w:val="21"/>
              </w:rPr>
              <w:t xml:space="preserve"> of Arbitration clause and Model (Institution) Arbitration Clause (E.g. CIETAC)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5.</w:t>
            </w:r>
            <w:r>
              <w:rPr>
                <w:rFonts w:ascii="宋体"/>
                <w:szCs w:val="21"/>
              </w:rPr>
              <w:tab/>
              <w:t>Discussion: comments to the Chinese Legislation and Practice (Cases Study) on the Arbitration Agreement.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3 Arbitration Institution as well as the arbitral tribunal and its Jurisdiction </w:t>
            </w:r>
            <w:r>
              <w:rPr>
                <w:rFonts w:ascii="宋体" w:hint="eastAsia"/>
                <w:szCs w:val="21"/>
              </w:rPr>
              <w:t>（4节</w:t>
            </w:r>
            <w:r>
              <w:rPr>
                <w:rFonts w:ascii="宋体"/>
                <w:szCs w:val="21"/>
              </w:rPr>
              <w:t>）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Arbitration Commissions and the Arbitration Association: Chapter 2 of the 1995 Chinese Arbitration Act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 the organization of Arbitration commissions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the main functions of Arbitration commissions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Composition of the Arbitral Tribunal: Chapter 4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3 the Jurisdiction of the arbitral tribunal: 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A the doctrine of Competence/ Competence 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Judicial Review of the People</w:t>
            </w:r>
            <w:r>
              <w:rPr>
                <w:rFonts w:ascii="宋体"/>
                <w:szCs w:val="21"/>
              </w:rPr>
              <w:t>’</w:t>
            </w:r>
            <w:r>
              <w:rPr>
                <w:rFonts w:ascii="宋体"/>
                <w:szCs w:val="21"/>
              </w:rPr>
              <w:t>s Court to the jurisdiction of the arbitral tribunal.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Qualifications of Arbitrator and the duties of impartiality and independence.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lastRenderedPageBreak/>
              <w:t>A  Qualifications of Arbitrator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 Authorities and Responsibilities of arbitrators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Discussion: The Chinese Legislations and Practices on the Composition of the Arbitral tribunal and its Jurisdiction.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4  The main arbitration procedures  </w:t>
            </w:r>
            <w:r>
              <w:rPr>
                <w:rFonts w:ascii="宋体" w:hint="eastAsia"/>
                <w:szCs w:val="21"/>
              </w:rPr>
              <w:t>（8节</w:t>
            </w:r>
            <w:r>
              <w:rPr>
                <w:rFonts w:ascii="宋体"/>
                <w:szCs w:val="21"/>
              </w:rPr>
              <w:t xml:space="preserve">）   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General Introduction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Preliminary Conference and the form of hearing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Interim or provisional measures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Evidence rules of commercial arbitration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 General Introduction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Forms of evidence.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C Taking Evidence and Its confirmation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D The Chinese legislation and practices on the Evidence Rules.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Mediation combined with arbitration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 Applicable Law to arbitration procedure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A Seat Theory 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Delocalized Arbitration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7 Applicable Law for the settlement of Disputes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A  Lex </w:t>
            </w:r>
            <w:proofErr w:type="spellStart"/>
            <w:r>
              <w:rPr>
                <w:rFonts w:ascii="宋体"/>
                <w:szCs w:val="21"/>
              </w:rPr>
              <w:t>Mercatoria</w:t>
            </w:r>
            <w:proofErr w:type="spellEnd"/>
            <w:r>
              <w:rPr>
                <w:rFonts w:ascii="宋体"/>
                <w:szCs w:val="21"/>
              </w:rPr>
              <w:t xml:space="preserve"> and its Application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 The Chinese legislation and practices.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Chapter 5 Arbitral Awards </w:t>
            </w:r>
            <w:r>
              <w:rPr>
                <w:rFonts w:ascii="宋体" w:hint="eastAsia"/>
                <w:szCs w:val="21"/>
              </w:rPr>
              <w:t>（2节</w:t>
            </w:r>
            <w:r>
              <w:rPr>
                <w:rFonts w:ascii="宋体"/>
                <w:szCs w:val="21"/>
              </w:rPr>
              <w:t>）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Categories of Arbitral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Final terms of Arbitral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Forms and Contents of Arbitral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Chapter 6 Revocation of Arbitral Awards by National Courts.</w:t>
            </w:r>
            <w:r>
              <w:rPr>
                <w:rFonts w:ascii="宋体" w:hint="eastAsia"/>
                <w:szCs w:val="21"/>
              </w:rPr>
              <w:t>（4节</w:t>
            </w:r>
            <w:r>
              <w:rPr>
                <w:rFonts w:ascii="宋体"/>
                <w:szCs w:val="21"/>
              </w:rPr>
              <w:t>）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Challenges to the Arbitral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Implication of Revocation of Arbitral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3 different causes of Revocation for domestic and foreign related arbitral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Re-arbitration as an easy remedy.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Revocation of the Arbitral Awards by the People</w:t>
            </w:r>
            <w:r>
              <w:rPr>
                <w:rFonts w:ascii="宋体"/>
                <w:szCs w:val="21"/>
              </w:rPr>
              <w:t>’</w:t>
            </w:r>
            <w:r>
              <w:rPr>
                <w:rFonts w:ascii="宋体"/>
                <w:szCs w:val="21"/>
              </w:rPr>
              <w:t>s Court: Cases analysis and comments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Chapter 7 Recognition and Enforcement of Arbitral Awards.</w:t>
            </w:r>
            <w:r>
              <w:rPr>
                <w:rFonts w:ascii="宋体" w:hint="eastAsia"/>
                <w:szCs w:val="21"/>
              </w:rPr>
              <w:t>（6节</w:t>
            </w:r>
            <w:r>
              <w:rPr>
                <w:rFonts w:ascii="宋体"/>
                <w:szCs w:val="21"/>
              </w:rPr>
              <w:t>）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 General Introduction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 Nationality of an Arbitral Award and its determination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lastRenderedPageBreak/>
              <w:t>3 Recognition and Enforcement of different arbitral awards in China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(1) Foreign related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(2) Purely Domestic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(3) Foreign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(4) Hong Kong SAR Awards: The Arrangement between HK and the Mainland (2000)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(5) Taiwan awards: Mainland: Judicial interpretation of the Supreme Court (1998); Taiwan: The Ordinance concerning the relationship between Taiwan &amp; the Mainland (1992).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(6) Macao SAR awards: the Arrangement between Mainland China and Macao (2007)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(7) Non domestic awards?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 Recognition and enforcement of foreign arbitral awards in China under the 1958 New York Convention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A. Basis for the Recognition and Enforcement of Foreign Arbitral Awards.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B. Reasons of deny recognition and enforcement of foreign Arbitral Awards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 Discussion: The Chinese Practices on the Recognition and Enforcement of different Arbitral Awards</w:t>
            </w:r>
          </w:p>
        </w:tc>
      </w:tr>
      <w:tr w:rsidR="00E75680" w:rsidTr="005E00E2">
        <w:trPr>
          <w:trHeight w:val="1156"/>
        </w:trPr>
        <w:tc>
          <w:tcPr>
            <w:tcW w:w="894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5680" w:rsidRDefault="00E75680" w:rsidP="005E00E2">
            <w:pPr>
              <w:spacing w:beforeLines="50" w:before="156"/>
              <w:ind w:leftChars="-67" w:left="-141" w:firstLineChars="100" w:firstLine="210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lastRenderedPageBreak/>
              <w:t>课内外讨论或练习、实践、体验等环节设计：</w:t>
            </w:r>
          </w:p>
          <w:p w:rsidR="00E75680" w:rsidRDefault="00E75680" w:rsidP="005E00E2">
            <w:pPr>
              <w:spacing w:line="400" w:lineRule="exact"/>
              <w:ind w:firstLineChars="200" w:firstLine="420"/>
              <w:rPr>
                <w:rFonts w:ascii="华文楷体" w:eastAsia="华文楷体" w:hAnsi="华文楷体"/>
              </w:rPr>
            </w:pPr>
            <w:r>
              <w:rPr>
                <w:rFonts w:ascii="宋体" w:hint="eastAsia"/>
                <w:szCs w:val="21"/>
              </w:rPr>
              <w:t>围绕典型</w:t>
            </w:r>
            <w:r>
              <w:rPr>
                <w:rFonts w:ascii="宋体"/>
                <w:szCs w:val="21"/>
              </w:rPr>
              <w:t>案例中涉及的仲裁协议效力、仲裁庭管辖权确定以及仲裁裁决承认与执行等进行课堂讨论，如</w:t>
            </w:r>
            <w:r>
              <w:rPr>
                <w:rFonts w:ascii="宋体" w:hint="eastAsia"/>
                <w:szCs w:val="21"/>
              </w:rPr>
              <w:t>西门子</w:t>
            </w:r>
            <w:r>
              <w:rPr>
                <w:rFonts w:ascii="宋体"/>
                <w:szCs w:val="21"/>
              </w:rPr>
              <w:t>案</w:t>
            </w:r>
          </w:p>
        </w:tc>
      </w:tr>
      <w:tr w:rsidR="00E75680" w:rsidTr="005E00E2">
        <w:trPr>
          <w:trHeight w:val="1116"/>
        </w:trPr>
        <w:tc>
          <w:tcPr>
            <w:tcW w:w="894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5680" w:rsidRDefault="00E75680" w:rsidP="005E00E2">
            <w:pPr>
              <w:spacing w:beforeLines="50" w:before="156"/>
              <w:ind w:leftChars="-67" w:left="-141" w:firstLineChars="100" w:firstLine="210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如需配备助教，注明助教工作内容：</w:t>
            </w:r>
            <w:r>
              <w:rPr>
                <w:rFonts w:ascii="宋体" w:hint="eastAsia"/>
                <w:szCs w:val="21"/>
              </w:rPr>
              <w:t>助教</w:t>
            </w:r>
            <w:r>
              <w:rPr>
                <w:rFonts w:ascii="宋体"/>
                <w:szCs w:val="21"/>
              </w:rPr>
              <w:t>主要协助主讲教师上传</w:t>
            </w:r>
            <w:r>
              <w:rPr>
                <w:rFonts w:ascii="宋体" w:hint="eastAsia"/>
                <w:szCs w:val="21"/>
              </w:rPr>
              <w:t>E</w:t>
            </w:r>
            <w:r>
              <w:rPr>
                <w:rFonts w:ascii="宋体"/>
                <w:szCs w:val="21"/>
              </w:rPr>
              <w:t xml:space="preserve"> </w:t>
            </w:r>
            <w:proofErr w:type="spellStart"/>
            <w:r>
              <w:rPr>
                <w:rFonts w:ascii="宋体" w:hint="eastAsia"/>
                <w:szCs w:val="21"/>
              </w:rPr>
              <w:t>Leanrning</w:t>
            </w:r>
            <w:proofErr w:type="spellEnd"/>
            <w:r>
              <w:rPr>
                <w:rFonts w:ascii="宋体" w:hint="eastAsia"/>
                <w:szCs w:val="21"/>
              </w:rPr>
              <w:t>课件</w:t>
            </w:r>
            <w:r>
              <w:rPr>
                <w:rFonts w:ascii="宋体"/>
                <w:szCs w:val="21"/>
              </w:rPr>
              <w:t>、相关资料及案例、</w:t>
            </w:r>
            <w:r>
              <w:rPr>
                <w:rFonts w:ascii="宋体" w:hint="eastAsia"/>
                <w:szCs w:val="21"/>
              </w:rPr>
              <w:t>答疑</w:t>
            </w:r>
            <w:r>
              <w:rPr>
                <w:rFonts w:ascii="宋体"/>
                <w:szCs w:val="21"/>
              </w:rPr>
              <w:t>、协助主讲教师批改期中及期末考试试卷客观题部分</w:t>
            </w:r>
            <w:r>
              <w:rPr>
                <w:rFonts w:ascii="宋体" w:hint="eastAsia"/>
                <w:szCs w:val="21"/>
              </w:rPr>
              <w:t>、</w:t>
            </w:r>
            <w:r>
              <w:rPr>
                <w:rFonts w:ascii="宋体"/>
                <w:szCs w:val="21"/>
              </w:rPr>
              <w:t>分数登录等</w:t>
            </w:r>
          </w:p>
        </w:tc>
      </w:tr>
      <w:tr w:rsidR="00E75680" w:rsidTr="005E00E2">
        <w:trPr>
          <w:trHeight w:val="1122"/>
        </w:trPr>
        <w:tc>
          <w:tcPr>
            <w:tcW w:w="8943" w:type="dxa"/>
            <w:gridSpan w:val="10"/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考核和评价方式（</w:t>
            </w:r>
            <w:r>
              <w:rPr>
                <w:rFonts w:ascii="Microsoft YaHei UI" w:eastAsia="Microsoft YaHei UI" w:hAnsi="Microsoft YaHei UI" w:hint="eastAsia"/>
                <w:szCs w:val="21"/>
                <w:shd w:val="clear" w:color="auto" w:fill="FFFFFF"/>
              </w:rPr>
              <w:t>提供学生课程最终成绩的分数组成，体现形成性的评价过程</w:t>
            </w:r>
            <w:r>
              <w:rPr>
                <w:rFonts w:ascii="宋体" w:hint="eastAsia"/>
              </w:rPr>
              <w:t xml:space="preserve">）: </w:t>
            </w:r>
          </w:p>
          <w:p w:rsidR="00E75680" w:rsidRDefault="00E75680" w:rsidP="005E00E2">
            <w:pPr>
              <w:ind w:firstLineChars="200" w:firstLine="420"/>
              <w:rPr>
                <w:rFonts w:ascii="楷体" w:eastAsia="楷体" w:hAnsi="楷体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平时</w:t>
            </w:r>
            <w:r>
              <w:rPr>
                <w:rFonts w:ascii="宋体" w:cs="宋体"/>
                <w:szCs w:val="21"/>
                <w:lang w:val="zh-CN"/>
              </w:rPr>
              <w:t>讨论表现（包括报告）</w:t>
            </w:r>
            <w:r>
              <w:rPr>
                <w:rFonts w:ascii="宋体" w:cs="宋体" w:hint="eastAsia"/>
                <w:szCs w:val="21"/>
                <w:lang w:val="zh-CN"/>
              </w:rPr>
              <w:t>及</w:t>
            </w:r>
            <w:proofErr w:type="gramStart"/>
            <w:r>
              <w:rPr>
                <w:rFonts w:ascii="宋体" w:cs="宋体"/>
                <w:szCs w:val="21"/>
                <w:lang w:val="zh-CN"/>
              </w:rPr>
              <w:t>出席占</w:t>
            </w:r>
            <w:proofErr w:type="gramEnd"/>
            <w:r>
              <w:rPr>
                <w:rFonts w:ascii="宋体" w:cs="宋体" w:hint="eastAsia"/>
                <w:szCs w:val="21"/>
                <w:lang w:val="zh-CN"/>
              </w:rPr>
              <w:t>30</w:t>
            </w:r>
            <w:r>
              <w:rPr>
                <w:rFonts w:ascii="宋体" w:cs="宋体"/>
                <w:szCs w:val="21"/>
                <w:lang w:val="zh-CN"/>
              </w:rPr>
              <w:t>%</w:t>
            </w:r>
            <w:r>
              <w:rPr>
                <w:rFonts w:ascii="宋体" w:cs="宋体" w:hint="eastAsia"/>
                <w:szCs w:val="21"/>
                <w:lang w:val="zh-CN"/>
              </w:rPr>
              <w:t>，</w:t>
            </w:r>
            <w:r>
              <w:rPr>
                <w:rFonts w:ascii="宋体" w:cs="宋体"/>
                <w:szCs w:val="21"/>
                <w:lang w:val="zh-CN"/>
              </w:rPr>
              <w:t>期末考试（案例</w:t>
            </w:r>
            <w:r>
              <w:rPr>
                <w:rFonts w:ascii="宋体" w:cs="宋体" w:hint="eastAsia"/>
                <w:szCs w:val="21"/>
                <w:lang w:val="zh-CN"/>
              </w:rPr>
              <w:t>分析</w:t>
            </w:r>
            <w:r>
              <w:rPr>
                <w:rFonts w:ascii="宋体" w:cs="宋体"/>
                <w:szCs w:val="21"/>
                <w:lang w:val="zh-CN"/>
              </w:rPr>
              <w:t>形式的论文</w:t>
            </w:r>
            <w:r>
              <w:rPr>
                <w:rFonts w:ascii="宋体" w:cs="宋体" w:hint="eastAsia"/>
                <w:szCs w:val="21"/>
                <w:lang w:val="zh-CN"/>
              </w:rPr>
              <w:t>，</w:t>
            </w:r>
            <w:r>
              <w:rPr>
                <w:rFonts w:ascii="宋体" w:cs="宋体"/>
                <w:szCs w:val="21"/>
                <w:lang w:val="zh-CN"/>
              </w:rPr>
              <w:t>开卷）占</w:t>
            </w:r>
            <w:r>
              <w:rPr>
                <w:rFonts w:ascii="宋体" w:cs="宋体" w:hint="eastAsia"/>
                <w:szCs w:val="21"/>
                <w:lang w:val="zh-CN"/>
              </w:rPr>
              <w:t>70</w:t>
            </w:r>
            <w:r>
              <w:rPr>
                <w:rFonts w:ascii="宋体" w:cs="宋体"/>
                <w:szCs w:val="21"/>
                <w:lang w:val="zh-CN"/>
              </w:rPr>
              <w:t>%</w:t>
            </w:r>
          </w:p>
        </w:tc>
      </w:tr>
      <w:tr w:rsidR="00E75680" w:rsidTr="005E00E2">
        <w:trPr>
          <w:trHeight w:val="1383"/>
        </w:trPr>
        <w:tc>
          <w:tcPr>
            <w:tcW w:w="8943" w:type="dxa"/>
            <w:gridSpan w:val="10"/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教材（</w:t>
            </w:r>
            <w:r>
              <w:rPr>
                <w:rFonts w:ascii="Microsoft YaHei UI" w:eastAsia="Microsoft YaHei UI" w:hAnsi="Microsoft YaHei UI" w:hint="eastAsia"/>
                <w:szCs w:val="21"/>
                <w:shd w:val="clear" w:color="auto" w:fill="FFFFFF"/>
              </w:rPr>
              <w:t>包括作者、书名、出版社和出版时间；如使用自编讲义，也请列明</w:t>
            </w:r>
            <w:r>
              <w:rPr>
                <w:rFonts w:ascii="宋体" w:hint="eastAsia"/>
              </w:rPr>
              <w:t>）：</w:t>
            </w:r>
          </w:p>
          <w:p w:rsidR="00E75680" w:rsidRDefault="00E75680" w:rsidP="005E00E2">
            <w:pPr>
              <w:ind w:firstLineChars="200" w:firstLine="420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/>
                <w:szCs w:val="21"/>
              </w:rPr>
              <w:t xml:space="preserve">A Practical Guide to International Commercial Arbitration by Richard </w:t>
            </w:r>
            <w:proofErr w:type="gramStart"/>
            <w:r>
              <w:rPr>
                <w:rFonts w:ascii="宋体" w:cs="宋体"/>
                <w:szCs w:val="21"/>
              </w:rPr>
              <w:t>Garnett ,Henry</w:t>
            </w:r>
            <w:proofErr w:type="gramEnd"/>
            <w:r>
              <w:rPr>
                <w:rFonts w:ascii="宋体" w:cs="宋体"/>
                <w:szCs w:val="21"/>
              </w:rPr>
              <w:t xml:space="preserve"> Gabriel, Jeff </w:t>
            </w:r>
            <w:proofErr w:type="spellStart"/>
            <w:r>
              <w:rPr>
                <w:rFonts w:ascii="宋体" w:cs="宋体"/>
                <w:szCs w:val="21"/>
              </w:rPr>
              <w:t>Waincvmer</w:t>
            </w:r>
            <w:proofErr w:type="spellEnd"/>
            <w:r>
              <w:rPr>
                <w:rFonts w:ascii="宋体" w:cs="宋体"/>
                <w:szCs w:val="21"/>
              </w:rPr>
              <w:t xml:space="preserve">, Judd Epstein. </w:t>
            </w:r>
            <w:r>
              <w:rPr>
                <w:rFonts w:ascii="宋体" w:cs="宋体"/>
                <w:szCs w:val="21"/>
                <w:lang w:val="zh-CN"/>
              </w:rPr>
              <w:t>OCEANA PUBLICATIONS, INC.</w:t>
            </w:r>
          </w:p>
          <w:p w:rsidR="00E75680" w:rsidRDefault="00E75680" w:rsidP="005E00E2">
            <w:pPr>
              <w:rPr>
                <w:rFonts w:ascii="宋体"/>
              </w:rPr>
            </w:pPr>
          </w:p>
        </w:tc>
      </w:tr>
      <w:tr w:rsidR="00E75680" w:rsidTr="005E00E2">
        <w:trPr>
          <w:trHeight w:val="1383"/>
        </w:trPr>
        <w:tc>
          <w:tcPr>
            <w:tcW w:w="8943" w:type="dxa"/>
            <w:gridSpan w:val="10"/>
            <w:shd w:val="clear" w:color="auto" w:fill="auto"/>
          </w:tcPr>
          <w:p w:rsidR="00E75680" w:rsidRDefault="00E75680" w:rsidP="005E00E2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教学参考资料</w:t>
            </w:r>
            <w:r>
              <w:rPr>
                <w:rFonts w:ascii="宋体" w:hint="eastAsia"/>
                <w:szCs w:val="21"/>
              </w:rPr>
              <w:t>（</w:t>
            </w:r>
            <w:r>
              <w:rPr>
                <w:rFonts w:ascii="Microsoft YaHei UI" w:eastAsia="Microsoft YaHei UI" w:hAnsi="Microsoft YaHei UI" w:hint="eastAsia"/>
                <w:szCs w:val="21"/>
                <w:shd w:val="clear" w:color="auto" w:fill="FFFFFF"/>
              </w:rPr>
              <w:t>包括作者、书名、出版社和出版时间</w:t>
            </w:r>
            <w:r>
              <w:rPr>
                <w:rFonts w:ascii="宋体" w:hint="eastAsia"/>
                <w:szCs w:val="21"/>
              </w:rPr>
              <w:t>）：</w:t>
            </w:r>
          </w:p>
          <w:p w:rsidR="00E75680" w:rsidRDefault="00E75680" w:rsidP="005E00E2">
            <w:pPr>
              <w:ind w:firstLineChars="200" w:firstLine="420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1 Cases and materials of Chinese arbitration Law prepared by professor CHEN Li</w:t>
            </w:r>
          </w:p>
          <w:p w:rsidR="00E75680" w:rsidRDefault="00E75680" w:rsidP="005E00E2">
            <w:pPr>
              <w:ind w:firstLineChars="200" w:firstLine="420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 xml:space="preserve">2 Reference materials on international commercial arbitration by Professor ZHAO </w:t>
            </w:r>
            <w:proofErr w:type="spellStart"/>
            <w:r>
              <w:rPr>
                <w:rFonts w:ascii="宋体" w:cs="宋体"/>
                <w:szCs w:val="21"/>
              </w:rPr>
              <w:t>Xiuwen</w:t>
            </w:r>
            <w:proofErr w:type="spellEnd"/>
            <w:r>
              <w:rPr>
                <w:rFonts w:ascii="宋体" w:cs="宋体"/>
                <w:szCs w:val="21"/>
              </w:rPr>
              <w:t xml:space="preserve">. </w:t>
            </w:r>
            <w:proofErr w:type="spellStart"/>
            <w:r>
              <w:rPr>
                <w:rFonts w:ascii="宋体" w:cs="宋体"/>
                <w:szCs w:val="21"/>
              </w:rPr>
              <w:t>Renmin</w:t>
            </w:r>
            <w:proofErr w:type="spellEnd"/>
            <w:r>
              <w:rPr>
                <w:rFonts w:ascii="宋体" w:cs="宋体"/>
                <w:szCs w:val="21"/>
              </w:rPr>
              <w:t xml:space="preserve"> University Press 2006</w:t>
            </w:r>
          </w:p>
          <w:p w:rsidR="00E75680" w:rsidRDefault="00E75680" w:rsidP="005E00E2">
            <w:pPr>
              <w:ind w:firstLineChars="200" w:firstLine="420"/>
              <w:rPr>
                <w:rFonts w:ascii="宋体"/>
              </w:rPr>
            </w:pPr>
            <w:r>
              <w:rPr>
                <w:rFonts w:ascii="宋体" w:cs="宋体" w:hint="eastAsia"/>
                <w:szCs w:val="21"/>
              </w:rPr>
              <w:t xml:space="preserve">3 Resolving Disputes Through Arbitration in Mainland China by WANG </w:t>
            </w:r>
            <w:proofErr w:type="spellStart"/>
            <w:r>
              <w:rPr>
                <w:rFonts w:ascii="宋体" w:cs="宋体" w:hint="eastAsia"/>
                <w:szCs w:val="21"/>
              </w:rPr>
              <w:t>Shengchang</w:t>
            </w:r>
            <w:proofErr w:type="spellEnd"/>
            <w:r>
              <w:rPr>
                <w:rFonts w:ascii="宋体" w:cs="宋体" w:hint="eastAsia"/>
                <w:szCs w:val="21"/>
              </w:rPr>
              <w:t xml:space="preserve">. </w:t>
            </w:r>
            <w:r>
              <w:rPr>
                <w:rFonts w:ascii="宋体" w:cs="宋体" w:hint="eastAsia"/>
                <w:szCs w:val="21"/>
                <w:lang w:val="zh-CN"/>
              </w:rPr>
              <w:t>Law Press 2003</w:t>
            </w:r>
          </w:p>
        </w:tc>
      </w:tr>
    </w:tbl>
    <w:p w:rsidR="004D2C28" w:rsidRDefault="004D2C28"/>
    <w:sectPr w:rsidR="004D2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680"/>
    <w:rsid w:val="004D2C28"/>
    <w:rsid w:val="00E7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8DEF66-B03B-40AC-B3BA-BA9CEB5D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6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2018-11-14T01:08:00Z</dcterms:created>
  <dcterms:modified xsi:type="dcterms:W3CDTF">2018-11-14T01:11:00Z</dcterms:modified>
</cp:coreProperties>
</file>